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41DA0" w14:textId="50F7ECA8" w:rsidR="00702AD8" w:rsidRPr="00702AD8" w:rsidRDefault="007641A7" w:rsidP="00702AD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Part 1</w:t>
      </w:r>
    </w:p>
    <w:p w14:paraId="4F2102E6" w14:textId="6AD9A8C5" w:rsidR="00F7611D" w:rsidRPr="00702AD8" w:rsidRDefault="00702AD8" w:rsidP="00702AD8">
      <w:pPr>
        <w:spacing w:after="0" w:line="480" w:lineRule="auto"/>
        <w:ind w:firstLine="720"/>
        <w:contextualSpacing/>
        <w:rPr>
          <w:rFonts w:ascii="Times New Roman" w:hAnsi="Times New Roman" w:cs="Times New Roman"/>
          <w:sz w:val="24"/>
          <w:szCs w:val="24"/>
        </w:rPr>
      </w:pPr>
      <w:r w:rsidRPr="00702AD8">
        <w:rPr>
          <w:rFonts w:ascii="Times New Roman" w:hAnsi="Times New Roman" w:cs="Times New Roman"/>
          <w:sz w:val="24"/>
          <w:szCs w:val="24"/>
        </w:rPr>
        <w:t xml:space="preserve">The </w:t>
      </w:r>
      <w:r w:rsidR="007641A7">
        <w:rPr>
          <w:rFonts w:ascii="Times New Roman" w:hAnsi="Times New Roman" w:cs="Times New Roman"/>
          <w:sz w:val="24"/>
          <w:szCs w:val="24"/>
        </w:rPr>
        <w:t>culture of poverty argument states</w:t>
      </w:r>
      <w:r w:rsidRPr="00702AD8">
        <w:rPr>
          <w:rFonts w:ascii="Times New Roman" w:hAnsi="Times New Roman" w:cs="Times New Roman"/>
          <w:sz w:val="24"/>
          <w:szCs w:val="24"/>
        </w:rPr>
        <w:t xml:space="preserve"> that </w:t>
      </w:r>
      <w:r w:rsidR="000E27A4" w:rsidRPr="00702AD8">
        <w:rPr>
          <w:rFonts w:ascii="Times New Roman" w:hAnsi="Times New Roman" w:cs="Times New Roman"/>
          <w:sz w:val="24"/>
          <w:szCs w:val="24"/>
        </w:rPr>
        <w:t>being in an e</w:t>
      </w:r>
      <w:bookmarkStart w:id="0" w:name="_GoBack"/>
      <w:bookmarkEnd w:id="0"/>
      <w:r w:rsidR="000E27A4" w:rsidRPr="00702AD8">
        <w:rPr>
          <w:rFonts w:ascii="Times New Roman" w:hAnsi="Times New Roman" w:cs="Times New Roman"/>
          <w:sz w:val="24"/>
          <w:szCs w:val="24"/>
        </w:rPr>
        <w:t>nvironment where pervasive poverty is accepted, people develop a culture based on those conditions</w:t>
      </w:r>
      <w:r w:rsidR="0038446A" w:rsidRPr="00702AD8">
        <w:rPr>
          <w:rFonts w:ascii="Times New Roman" w:hAnsi="Times New Roman" w:cs="Times New Roman"/>
          <w:sz w:val="24"/>
          <w:szCs w:val="24"/>
        </w:rPr>
        <w:t xml:space="preserve"> (</w:t>
      </w:r>
      <w:r w:rsidR="0038446A" w:rsidRPr="00702AD8">
        <w:rPr>
          <w:rFonts w:ascii="Times New Roman" w:hAnsi="Times New Roman" w:cs="Times New Roman"/>
          <w:color w:val="222222"/>
          <w:sz w:val="24"/>
          <w:szCs w:val="24"/>
          <w:shd w:val="clear" w:color="auto" w:fill="FFFFFF"/>
        </w:rPr>
        <w:t>Mingione, 2008).</w:t>
      </w:r>
      <w:r w:rsidR="000E27A4" w:rsidRPr="00702AD8">
        <w:rPr>
          <w:rFonts w:ascii="Times New Roman" w:hAnsi="Times New Roman" w:cs="Times New Roman"/>
          <w:sz w:val="24"/>
          <w:szCs w:val="24"/>
        </w:rPr>
        <w:t xml:space="preserve"> Examples of pervasive elements are helplessness, marginality, and dependency. The people adopt these values, thus promoting poverty, causing a cycle among the generations. The approach interprets urban poverty based on history and insufficient knowledge. </w:t>
      </w:r>
      <w:r w:rsidR="007641A7">
        <w:rPr>
          <w:rFonts w:ascii="Times New Roman" w:hAnsi="Times New Roman" w:cs="Times New Roman"/>
          <w:sz w:val="24"/>
          <w:szCs w:val="24"/>
        </w:rPr>
        <w:t>Again, t</w:t>
      </w:r>
      <w:r w:rsidR="000E27A4" w:rsidRPr="00702AD8">
        <w:rPr>
          <w:rFonts w:ascii="Times New Roman" w:hAnsi="Times New Roman" w:cs="Times New Roman"/>
          <w:sz w:val="24"/>
          <w:szCs w:val="24"/>
        </w:rPr>
        <w:t xml:space="preserve">he model insists that individuals in this type of culture lack the sense of history on the issues, so the knowledge needed to apply collective actions other than dwelling on the challenges is not there. In urban areas, people originate from different parts of the region to seek job opportunities. </w:t>
      </w:r>
      <w:r w:rsidR="007641A7">
        <w:rPr>
          <w:rFonts w:ascii="Times New Roman" w:hAnsi="Times New Roman" w:cs="Times New Roman"/>
          <w:sz w:val="24"/>
          <w:szCs w:val="24"/>
        </w:rPr>
        <w:t>However, t</w:t>
      </w:r>
      <w:r w:rsidR="000E27A4" w:rsidRPr="00702AD8">
        <w:rPr>
          <w:rFonts w:ascii="Times New Roman" w:hAnsi="Times New Roman" w:cs="Times New Roman"/>
          <w:sz w:val="24"/>
          <w:szCs w:val="24"/>
        </w:rPr>
        <w:t xml:space="preserve">he diversities about their backgrounds limit chances for unity, which would solve issues like housing. The idea is problematic because it shifts the argument from social and economic challenges to the low-income populations. However, studies show that when people are socially and economically, disadvantaged chances for poverty increase.  </w:t>
      </w:r>
    </w:p>
    <w:p w14:paraId="751A9B14" w14:textId="33A45125" w:rsidR="00297B08" w:rsidRPr="007641A7" w:rsidRDefault="00702AD8" w:rsidP="007641A7">
      <w:pPr>
        <w:spacing w:after="0" w:line="480" w:lineRule="auto"/>
        <w:contextualSpacing/>
        <w:jc w:val="center"/>
        <w:rPr>
          <w:rFonts w:ascii="Times New Roman" w:hAnsi="Times New Roman" w:cs="Times New Roman"/>
          <w:b/>
          <w:sz w:val="24"/>
          <w:szCs w:val="24"/>
        </w:rPr>
      </w:pPr>
      <w:r w:rsidRPr="007641A7">
        <w:rPr>
          <w:rFonts w:ascii="Times New Roman" w:hAnsi="Times New Roman" w:cs="Times New Roman"/>
          <w:b/>
          <w:sz w:val="24"/>
          <w:szCs w:val="24"/>
        </w:rPr>
        <w:t>Reference</w:t>
      </w:r>
    </w:p>
    <w:p w14:paraId="1A8C4CD6" w14:textId="7408632F" w:rsidR="00297B08" w:rsidRPr="00702AD8" w:rsidRDefault="007641A7" w:rsidP="00702AD8">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Mingione, E. (Ed.). (</w:t>
      </w:r>
      <w:r w:rsidR="00702AD8" w:rsidRPr="00702AD8">
        <w:rPr>
          <w:rFonts w:ascii="Times New Roman" w:hAnsi="Times New Roman" w:cs="Times New Roman"/>
          <w:color w:val="222222"/>
          <w:sz w:val="24"/>
          <w:szCs w:val="24"/>
          <w:shd w:val="clear" w:color="auto" w:fill="FFFFFF"/>
        </w:rPr>
        <w:t xml:space="preserve">2008). </w:t>
      </w:r>
      <w:proofErr w:type="gramStart"/>
      <w:r w:rsidR="00702AD8" w:rsidRPr="00702AD8">
        <w:rPr>
          <w:rFonts w:ascii="Times New Roman" w:hAnsi="Times New Roman" w:cs="Times New Roman"/>
          <w:i/>
          <w:iCs/>
          <w:color w:val="222222"/>
          <w:sz w:val="24"/>
          <w:szCs w:val="24"/>
          <w:shd w:val="clear" w:color="auto" w:fill="FFFFFF"/>
        </w:rPr>
        <w:t>Urban</w:t>
      </w:r>
      <w:proofErr w:type="gramEnd"/>
      <w:r w:rsidR="00702AD8" w:rsidRPr="00702AD8">
        <w:rPr>
          <w:rFonts w:ascii="Times New Roman" w:hAnsi="Times New Roman" w:cs="Times New Roman"/>
          <w:i/>
          <w:iCs/>
          <w:color w:val="222222"/>
          <w:sz w:val="24"/>
          <w:szCs w:val="24"/>
          <w:shd w:val="clear" w:color="auto" w:fill="FFFFFF"/>
        </w:rPr>
        <w:t xml:space="preserve"> poverty and the underclass: a reader</w:t>
      </w:r>
      <w:r w:rsidR="00702AD8" w:rsidRPr="00702AD8">
        <w:rPr>
          <w:rFonts w:ascii="Times New Roman" w:hAnsi="Times New Roman" w:cs="Times New Roman"/>
          <w:color w:val="222222"/>
          <w:sz w:val="24"/>
          <w:szCs w:val="24"/>
          <w:shd w:val="clear" w:color="auto" w:fill="FFFFFF"/>
        </w:rPr>
        <w:t>. John Wiley &amp; Sons.</w:t>
      </w:r>
    </w:p>
    <w:p w14:paraId="4999ECC6" w14:textId="77777777" w:rsidR="00297B08" w:rsidRPr="00702AD8" w:rsidRDefault="00297B08" w:rsidP="00702AD8">
      <w:pPr>
        <w:spacing w:line="480" w:lineRule="auto"/>
        <w:rPr>
          <w:rFonts w:ascii="Times New Roman" w:hAnsi="Times New Roman" w:cs="Times New Roman"/>
          <w:sz w:val="24"/>
          <w:szCs w:val="24"/>
        </w:rPr>
      </w:pPr>
    </w:p>
    <w:sectPr w:rsidR="00297B08" w:rsidRPr="00702A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11D"/>
    <w:rsid w:val="000E27A4"/>
    <w:rsid w:val="00297B08"/>
    <w:rsid w:val="0038446A"/>
    <w:rsid w:val="00702AD8"/>
    <w:rsid w:val="007641A7"/>
    <w:rsid w:val="007B0EAD"/>
    <w:rsid w:val="00F76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35114"/>
  <w15:chartTrackingRefBased/>
  <w15:docId w15:val="{19A6278C-4C47-46D6-8C25-0A32AFBEA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2020-11-06T11:47:00Z</dcterms:created>
  <dcterms:modified xsi:type="dcterms:W3CDTF">2020-11-06T12:26:00Z</dcterms:modified>
</cp:coreProperties>
</file>